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B3" w:rsidRDefault="00B61A54">
      <w:pPr>
        <w:widowControl/>
        <w:shd w:val="clear" w:color="auto" w:fill="FFFFFF"/>
        <w:spacing w:line="375" w:lineRule="atLeast"/>
        <w:jc w:val="center"/>
        <w:rPr>
          <w:rFonts w:eastAsia="黑体"/>
          <w:spacing w:val="30"/>
          <w:kern w:val="0"/>
          <w:sz w:val="32"/>
          <w:szCs w:val="32"/>
        </w:rPr>
      </w:pPr>
      <w:r>
        <w:rPr>
          <w:rFonts w:eastAsia="黑体" w:hint="eastAsia"/>
          <w:spacing w:val="30"/>
          <w:kern w:val="0"/>
          <w:sz w:val="32"/>
          <w:szCs w:val="32"/>
        </w:rPr>
        <w:t>846</w:t>
      </w:r>
      <w:r>
        <w:rPr>
          <w:rFonts w:eastAsia="黑体" w:hint="eastAsia"/>
          <w:spacing w:val="30"/>
          <w:kern w:val="0"/>
          <w:sz w:val="32"/>
          <w:szCs w:val="32"/>
        </w:rPr>
        <w:t>《经济学基础》</w:t>
      </w:r>
      <w:r>
        <w:rPr>
          <w:rFonts w:ascii="黑体" w:eastAsia="黑体" w:hAnsi="黑体" w:hint="eastAsia"/>
          <w:kern w:val="36"/>
          <w:sz w:val="32"/>
          <w:szCs w:val="32"/>
        </w:rPr>
        <w:t>自命题考试大纲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7" w:type="dxa"/>
          <w:left w:w="0" w:type="dxa"/>
          <w:right w:w="0" w:type="dxa"/>
        </w:tblCellMar>
        <w:tblLook w:val="04A0"/>
      </w:tblPr>
      <w:tblGrid>
        <w:gridCol w:w="1260"/>
        <w:gridCol w:w="1427"/>
        <w:gridCol w:w="5953"/>
      </w:tblGrid>
      <w:tr w:rsidR="007A42B3">
        <w:trPr>
          <w:trHeight w:val="585"/>
          <w:jc w:val="center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2B3" w:rsidRDefault="00B61A54">
            <w:pPr>
              <w:widowControl/>
              <w:spacing w:line="4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科目代码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2B3" w:rsidRDefault="00B61A54">
            <w:pPr>
              <w:widowControl/>
              <w:wordWrap w:val="0"/>
              <w:spacing w:line="4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2B3" w:rsidRDefault="00B61A54">
            <w:pPr>
              <w:widowControl/>
              <w:wordWrap w:val="0"/>
              <w:spacing w:line="4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考</w:t>
            </w:r>
            <w:r>
              <w:rPr>
                <w:b/>
                <w:bCs/>
                <w:kern w:val="0"/>
                <w:sz w:val="24"/>
              </w:rPr>
              <w:t>   </w:t>
            </w:r>
            <w:r>
              <w:rPr>
                <w:rFonts w:hAnsi="宋体" w:hint="eastAsia"/>
                <w:b/>
                <w:bCs/>
                <w:kern w:val="0"/>
                <w:sz w:val="24"/>
              </w:rPr>
              <w:t>试</w:t>
            </w:r>
            <w:r>
              <w:rPr>
                <w:b/>
                <w:bCs/>
                <w:kern w:val="0"/>
                <w:sz w:val="24"/>
              </w:rPr>
              <w:t>   </w:t>
            </w:r>
            <w:r>
              <w:rPr>
                <w:rFonts w:hAnsi="宋体" w:hint="eastAsia"/>
                <w:b/>
                <w:bCs/>
                <w:kern w:val="0"/>
                <w:sz w:val="24"/>
              </w:rPr>
              <w:t>大</w:t>
            </w:r>
            <w:r>
              <w:rPr>
                <w:b/>
                <w:bCs/>
                <w:kern w:val="0"/>
                <w:sz w:val="24"/>
              </w:rPr>
              <w:t>   </w:t>
            </w:r>
            <w:r>
              <w:rPr>
                <w:rFonts w:hAnsi="宋体" w:hint="eastAsia"/>
                <w:b/>
                <w:bCs/>
                <w:kern w:val="0"/>
                <w:sz w:val="24"/>
              </w:rPr>
              <w:t>纲</w:t>
            </w:r>
          </w:p>
          <w:p w:rsidR="007A42B3" w:rsidRDefault="00B61A54">
            <w:pPr>
              <w:widowControl/>
              <w:wordWrap w:val="0"/>
              <w:spacing w:line="4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（提纲式列举本科目须考查的知识要点）</w:t>
            </w:r>
          </w:p>
        </w:tc>
      </w:tr>
      <w:tr w:rsidR="007A42B3">
        <w:trPr>
          <w:trHeight w:val="585"/>
          <w:jc w:val="center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2B3" w:rsidRDefault="00B61A54">
            <w:pPr>
              <w:widowControl/>
              <w:wordWrap w:val="0"/>
              <w:spacing w:line="46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846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2B3" w:rsidRDefault="00B61A54">
            <w:pPr>
              <w:widowControl/>
              <w:wordWrap w:val="0"/>
              <w:spacing w:line="4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经济学基础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2B3" w:rsidRDefault="00B61A54">
            <w:pPr>
              <w:pStyle w:val="2"/>
              <w:spacing w:beforeLines="0" w:afterLines="0" w:line="300" w:lineRule="auto"/>
            </w:pPr>
            <w:r>
              <w:rPr>
                <w:rFonts w:hint="eastAsia"/>
              </w:rPr>
              <w:t>一、考试性质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年金融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学科学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学位硕士研究生入学统一考试专业课程考试的考试科目为《经济学基础》，包括《西方经济学（微观）》、《西方经济学（宏观）》、《计量经济学》三部分内容。《经济学基础》考试力求反映金融学硕士科学学位的特点，其目的是科学、公平、准确、规范地测评考生是否具备攻读金融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学科学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学位硕士所具备的基本素质和综合能力，选拔具有发展潜力的优秀人才入学，为国家的经济建设培养具有创新精神、创新能力和从事科学研究、教学、管理等工作能力的高层次学术型专门人才。</w:t>
            </w:r>
          </w:p>
          <w:p w:rsidR="007A42B3" w:rsidRDefault="00B61A54">
            <w:pPr>
              <w:pStyle w:val="2"/>
              <w:spacing w:beforeLines="0" w:afterLines="0" w:line="300" w:lineRule="auto"/>
            </w:pPr>
            <w:r>
              <w:rPr>
                <w:rFonts w:hint="eastAsia"/>
              </w:rPr>
              <w:t>二、考试要求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测试考生对于与微观经济学、宏观经济学以及计量经济学相关的</w:t>
            </w:r>
            <w:r>
              <w:rPr>
                <w:rFonts w:ascii="仿宋" w:eastAsia="仿宋" w:hAnsi="仿宋" w:hint="eastAsia"/>
                <w:sz w:val="24"/>
              </w:rPr>
              <w:t>基本概念、基础理论的掌握和运用能力。</w:t>
            </w:r>
          </w:p>
          <w:p w:rsidR="007A42B3" w:rsidRDefault="00B61A54">
            <w:pPr>
              <w:numPr>
                <w:ilvl w:val="0"/>
                <w:numId w:val="1"/>
              </w:numPr>
              <w:spacing w:line="300" w:lineRule="auto"/>
              <w:rPr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考试方式与分值（总分为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150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分）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（一）试卷满分及考试时间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本试卷满分为</w:t>
            </w:r>
            <w:r>
              <w:rPr>
                <w:rFonts w:ascii="仿宋" w:eastAsia="仿宋" w:hAnsi="仿宋"/>
                <w:sz w:val="24"/>
              </w:rPr>
              <w:t>150</w:t>
            </w:r>
            <w:r>
              <w:rPr>
                <w:rFonts w:ascii="仿宋" w:eastAsia="仿宋" w:hAnsi="仿宋" w:hint="eastAsia"/>
                <w:sz w:val="24"/>
              </w:rPr>
              <w:t>分，考试时间为</w:t>
            </w:r>
            <w:r>
              <w:rPr>
                <w:rFonts w:ascii="仿宋" w:eastAsia="仿宋" w:hAnsi="仿宋"/>
                <w:sz w:val="24"/>
              </w:rPr>
              <w:t>180</w:t>
            </w:r>
            <w:r>
              <w:rPr>
                <w:rFonts w:ascii="仿宋" w:eastAsia="仿宋" w:hAnsi="仿宋" w:hint="eastAsia"/>
                <w:sz w:val="24"/>
              </w:rPr>
              <w:t>分钟。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（二）试卷题型结构（题型与题目个数可以视情况微调）</w:t>
            </w:r>
          </w:p>
          <w:p w:rsidR="007A42B3" w:rsidRDefault="00B61A54">
            <w:pPr>
              <w:spacing w:line="300" w:lineRule="auto"/>
              <w:ind w:leftChars="342" w:left="2158" w:hangingChars="600" w:hanging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名词解释（</w:t>
            </w:r>
            <w:r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小题，每小题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分，其中计量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道，共</w:t>
            </w:r>
            <w:r>
              <w:rPr>
                <w:rFonts w:ascii="仿宋" w:eastAsia="仿宋" w:hAnsi="仿宋"/>
                <w:sz w:val="24"/>
              </w:rPr>
              <w:t>18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  <w:p w:rsidR="007A42B3" w:rsidRDefault="00B61A54">
            <w:pPr>
              <w:spacing w:line="300" w:lineRule="auto"/>
              <w:ind w:leftChars="342" w:left="2158" w:hangingChars="600" w:hanging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</w:t>
            </w:r>
            <w:r>
              <w:rPr>
                <w:rFonts w:ascii="仿宋" w:eastAsia="仿宋" w:hAnsi="仿宋" w:hint="eastAsia"/>
                <w:sz w:val="24"/>
              </w:rPr>
              <w:t>不定项选择题（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小题，每小题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分，其中计量</w:t>
            </w:r>
            <w:r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分，共</w:t>
            </w:r>
            <w:r>
              <w:rPr>
                <w:rFonts w:ascii="仿宋" w:eastAsia="仿宋" w:hAnsi="仿宋"/>
                <w:sz w:val="24"/>
              </w:rPr>
              <w:t>60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  <w:p w:rsidR="007A42B3" w:rsidRDefault="00B61A54">
            <w:pPr>
              <w:spacing w:line="300" w:lineRule="auto"/>
              <w:ind w:leftChars="342" w:left="2158" w:hangingChars="600" w:hanging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</w:t>
            </w:r>
            <w:r>
              <w:rPr>
                <w:rFonts w:ascii="仿宋" w:eastAsia="仿宋" w:hAnsi="仿宋" w:hint="eastAsia"/>
                <w:sz w:val="24"/>
              </w:rPr>
              <w:t>计算题（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小题，每小题</w:t>
            </w:r>
            <w:r>
              <w:rPr>
                <w:rFonts w:ascii="仿宋" w:eastAsia="仿宋" w:hAnsi="仿宋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分，其中计量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道，共</w:t>
            </w:r>
            <w:r>
              <w:rPr>
                <w:rFonts w:ascii="仿宋" w:eastAsia="仿宋" w:hAnsi="仿宋"/>
                <w:sz w:val="24"/>
              </w:rPr>
              <w:t>50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  <w:p w:rsidR="007A42B3" w:rsidRDefault="00B61A54">
            <w:pPr>
              <w:spacing w:line="300" w:lineRule="auto"/>
              <w:ind w:leftChars="342" w:left="2158" w:hangingChars="600" w:hanging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4.</w:t>
            </w:r>
            <w:r>
              <w:rPr>
                <w:rFonts w:ascii="仿宋" w:eastAsia="仿宋" w:hAnsi="仿宋" w:hint="eastAsia"/>
                <w:sz w:val="24"/>
              </w:rPr>
              <w:t>论述题（第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小题</w:t>
            </w:r>
            <w:r>
              <w:rPr>
                <w:rFonts w:ascii="仿宋" w:eastAsia="仿宋" w:hAnsi="仿宋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分（微观），第二小题</w:t>
            </w:r>
            <w:r>
              <w:rPr>
                <w:rFonts w:ascii="仿宋" w:eastAsia="仿宋" w:hAnsi="仿宋"/>
                <w:sz w:val="24"/>
              </w:rPr>
              <w:t>12</w:t>
            </w:r>
            <w:r>
              <w:rPr>
                <w:rFonts w:ascii="仿宋" w:eastAsia="仿宋" w:hAnsi="仿宋" w:hint="eastAsia"/>
                <w:sz w:val="24"/>
              </w:rPr>
              <w:t>分（宏观），共</w:t>
            </w:r>
            <w:r>
              <w:rPr>
                <w:rFonts w:ascii="仿宋" w:eastAsia="仿宋" w:hAnsi="仿宋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  <w:p w:rsidR="007A42B3" w:rsidRDefault="00B61A54">
            <w:pPr>
              <w:pStyle w:val="2"/>
              <w:spacing w:beforeLines="0" w:afterLines="0" w:line="300" w:lineRule="auto"/>
            </w:pPr>
            <w:r>
              <w:rPr>
                <w:rFonts w:hint="eastAsia"/>
              </w:rPr>
              <w:t>四、考试内容</w:t>
            </w:r>
          </w:p>
          <w:p w:rsidR="007A42B3" w:rsidRDefault="00B61A54">
            <w:pPr>
              <w:widowControl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第一部分西方经济学（宏观、微观部分）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一、经济学研究对象与研究方法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（一）经济学的研究对象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（二）经济学的研究内容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（三）经济学的研究方法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二、需求、供给、弹性与均衡价格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（一）需求理论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（二）供给理论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（三）均衡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（四）弹性理论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三、消费者行为理论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（一）效用、总效用与边际效用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（二）边际效用递减规律与消费者剩余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（三）无差异曲线与预算线、消费者效用最大化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（四）价格消费曲线与收入消费曲线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（五）替代效应与收入效应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（六）不确定性与选择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四、生产者行为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（一）厂商与生产函数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（二）短期生产函数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（三）长期生产函数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（四）规模报酬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五、成本理论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（一）机会成本与经济利润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（二）成本最小化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（三）短期成本曲线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（四）长期成本曲线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六、完全竞争市场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（一）划分市场结构的标准与市场结构类型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（二）完全竞争市场假设、价格、需求曲线、收益曲线、利润最大化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（三）完全竞争市场上的短期均衡与供给曲线。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（四）完全竞争市场上的长期均衡与供给曲线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（五）完全竞争市场的福利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七、不完全竞争市场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（一）完全垄断市场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（二）垄断竞争市场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（三）寡头市场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（四）不同市场的比较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八、生产要素理论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（一）完全竞争厂商对生产要素的需求曲线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（二）要素供给曲线概述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（三）劳动的供给曲线及工资的决定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（四）地租的决定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（五）资本与利息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（六）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洛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伦兹曲线与基尼系数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九、一般均衡与福利经济学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（一）瓦尔拉的一般均衡理论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（二）交换、生产以及交换和生产的帕累托最优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（三）完全竞争和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帕累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托最优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（四）社会福利函数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（五）效率与公平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十、市场失灵与微观经济政策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（一）不完全竞争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（二）外部影响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（三）公共物品与公共资源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（四）信息的不完全与不对称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十一、国民收入核算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（一）国内生产总值与国民生产总值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</w:t>
            </w:r>
            <w:r>
              <w:rPr>
                <w:rFonts w:ascii="仿宋" w:eastAsia="仿宋" w:hAnsi="仿宋"/>
                <w:color w:val="000000"/>
                <w:sz w:val="24"/>
              </w:rPr>
              <w:t>GDP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的核算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（三）国民收入核算中的其他总量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（四）名义</w:t>
            </w:r>
            <w:r>
              <w:rPr>
                <w:rFonts w:ascii="仿宋" w:eastAsia="仿宋" w:hAnsi="仿宋"/>
                <w:color w:val="000000"/>
                <w:sz w:val="24"/>
              </w:rPr>
              <w:t>GDP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和实际</w:t>
            </w:r>
            <w:r>
              <w:rPr>
                <w:rFonts w:ascii="仿宋" w:eastAsia="仿宋" w:hAnsi="仿宋"/>
                <w:color w:val="000000"/>
                <w:sz w:val="24"/>
              </w:rPr>
              <w:t>GDP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十二、国民收入的决定：收入支出模型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凯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恩斯的消费理论与消费函数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（二）两部门经济中国民收入的决定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（三）乘数理论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（四）三部门经济中国民收入的决定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（五）四部门经济中国民收入的决定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十三、国民收入的决定：</w:t>
            </w:r>
            <w:r>
              <w:rPr>
                <w:rFonts w:ascii="仿宋" w:eastAsia="仿宋" w:hAnsi="仿宋"/>
                <w:color w:val="000000"/>
                <w:sz w:val="24"/>
              </w:rPr>
              <w:t>IS—LM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模型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（一）利率、资本的边际效率与投资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（二）产品市场的均衡：</w:t>
            </w:r>
            <w:r>
              <w:rPr>
                <w:rFonts w:ascii="仿宋" w:eastAsia="仿宋" w:hAnsi="仿宋"/>
                <w:color w:val="000000"/>
                <w:sz w:val="24"/>
              </w:rPr>
              <w:t>IS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曲线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（三）货币市场的均衡：</w:t>
            </w:r>
            <w:r>
              <w:rPr>
                <w:rFonts w:ascii="仿宋" w:eastAsia="仿宋" w:hAnsi="仿宋"/>
                <w:color w:val="000000"/>
                <w:sz w:val="24"/>
              </w:rPr>
              <w:t>LM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曲线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（四）产品市场与货币市场的同时均衡：</w:t>
            </w:r>
            <w:r>
              <w:rPr>
                <w:rFonts w:ascii="仿宋" w:eastAsia="仿宋" w:hAnsi="仿宋"/>
                <w:color w:val="000000"/>
                <w:sz w:val="24"/>
              </w:rPr>
              <w:t>IS—LM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模型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十四、总需求总供给分析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（一）总供给曲线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（二）总需求曲线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（三）总需求与总供给模型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十五、失业与通货膨胀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（一）失业描述、原因以及失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业率计算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（二）通货膨胀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（三）失业与通货膨胀的关系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菲利普斯曲线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十六、宏观经济政策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（一）宏观经济政策概述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（二）财政政策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（三）货币政策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（四）财政政策和货币政策的配合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（五）供给管理政策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十七、开放条件下的宏观经济学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（一）汇率与国际收支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（二）蒙代尔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弗莱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明模型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十八、经济增长论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（一）新古典增长模型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（二）内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生增长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理论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十九、宏观经济学的微观基础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（一）消费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（二）投资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（三）货币需求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二十、新古典宏观经济学和新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凯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恩斯主义经济学</w:t>
            </w:r>
          </w:p>
          <w:p w:rsidR="007A42B3" w:rsidRDefault="007A42B3">
            <w:pPr>
              <w:widowControl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7A42B3" w:rsidRDefault="00B61A54">
            <w:pPr>
              <w:spacing w:line="300" w:lineRule="auto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第二部分计量经济学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（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>*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代表重要程度）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一、单方程计量经济学模型：一元线性回归模型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（一）回归分析与相关分析（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（二）总体相关系数和样本相关系数计算（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（三）总体回归函数与样本回归函数（</w:t>
            </w:r>
            <w:r>
              <w:rPr>
                <w:rFonts w:ascii="仿宋" w:eastAsia="仿宋" w:hAnsi="仿宋"/>
                <w:color w:val="000000"/>
                <w:sz w:val="24"/>
              </w:rPr>
              <w:t>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（四）一元线性回归模型的基本假设</w:t>
            </w:r>
          </w:p>
          <w:p w:rsidR="007A42B3" w:rsidRDefault="00B61A54">
            <w:pPr>
              <w:spacing w:line="300" w:lineRule="auto"/>
              <w:ind w:firstLineChars="300" w:firstLine="7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lastRenderedPageBreak/>
              <w:t>1.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对模型设定的假设（</w:t>
            </w:r>
            <w:r>
              <w:rPr>
                <w:rFonts w:ascii="仿宋" w:eastAsia="仿宋" w:hAnsi="仿宋"/>
                <w:color w:val="000000"/>
                <w:sz w:val="24"/>
              </w:rPr>
              <w:t>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300" w:firstLine="7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对解释变量的假设（</w:t>
            </w:r>
            <w:r>
              <w:rPr>
                <w:rFonts w:ascii="仿宋" w:eastAsia="仿宋" w:hAnsi="仿宋"/>
                <w:color w:val="000000"/>
                <w:sz w:val="24"/>
              </w:rPr>
              <w:t>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300" w:firstLine="7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对随机干扰项的假设（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（五）普通最小二乘法（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（六）最小二乘估计式的统计性质（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（七）一元线性回归模型的统计检验</w:t>
            </w:r>
          </w:p>
          <w:p w:rsidR="007A42B3" w:rsidRDefault="00B61A54">
            <w:pPr>
              <w:spacing w:line="300" w:lineRule="auto"/>
              <w:ind w:firstLineChars="300" w:firstLine="7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拟合优度检验（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计算题考点</w:t>
            </w:r>
          </w:p>
          <w:p w:rsidR="007A42B3" w:rsidRDefault="00B61A54">
            <w:pPr>
              <w:spacing w:line="300" w:lineRule="auto"/>
              <w:ind w:firstLineChars="300" w:firstLine="7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回归系数区间估计（</w:t>
            </w:r>
            <w:r>
              <w:rPr>
                <w:rFonts w:ascii="仿宋" w:eastAsia="仿宋" w:hAnsi="仿宋"/>
                <w:color w:val="000000"/>
                <w:sz w:val="24"/>
              </w:rPr>
              <w:t>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300" w:firstLine="7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回归系数假设检验</w:t>
            </w:r>
            <w:r>
              <w:rPr>
                <w:rFonts w:ascii="仿宋" w:eastAsia="仿宋" w:hAnsi="仿宋"/>
                <w:color w:val="000000"/>
                <w:sz w:val="24"/>
              </w:rPr>
              <w:t>-t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检验（</w:t>
            </w:r>
            <w:r>
              <w:rPr>
                <w:rFonts w:ascii="仿宋" w:eastAsia="仿宋" w:hAnsi="仿宋"/>
                <w:color w:val="000000"/>
                <w:sz w:val="24"/>
              </w:rPr>
              <w:t>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二、经典单方程计量经济学模型：多元线性回归模型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（一）多元线性回归模型的基本假设（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（二）多元线性回归模型的估计（</w:t>
            </w:r>
            <w:r>
              <w:rPr>
                <w:rFonts w:ascii="仿宋" w:eastAsia="仿宋" w:hAnsi="仿宋"/>
                <w:color w:val="000000"/>
                <w:sz w:val="24"/>
              </w:rPr>
              <w:t>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（三）多元线性回归模型的统计检验</w:t>
            </w:r>
          </w:p>
          <w:p w:rsidR="007A42B3" w:rsidRDefault="00B61A54">
            <w:pPr>
              <w:spacing w:line="300" w:lineRule="auto"/>
              <w:ind w:firstLineChars="300" w:firstLine="720"/>
              <w:rPr>
                <w:rFonts w:ascii="仿宋" w:eastAsia="仿宋" w:hAnsi="仿宋"/>
                <w:b/>
                <w:bCs/>
                <w:color w:val="2E74B5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拟合优度检验（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300" w:firstLine="7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方程总体线性的显著性检验</w:t>
            </w:r>
            <w:r>
              <w:rPr>
                <w:rFonts w:ascii="仿宋" w:eastAsia="仿宋" w:hAnsi="仿宋"/>
                <w:color w:val="000000"/>
                <w:sz w:val="24"/>
              </w:rPr>
              <w:t>-F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检验（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300" w:firstLine="7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变量的显著性检验</w:t>
            </w:r>
            <w:r>
              <w:rPr>
                <w:rFonts w:ascii="仿宋" w:eastAsia="仿宋" w:hAnsi="仿宋"/>
                <w:color w:val="000000"/>
                <w:sz w:val="24"/>
              </w:rPr>
              <w:t>-t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检验（</w:t>
            </w:r>
            <w:r>
              <w:rPr>
                <w:rFonts w:ascii="仿宋" w:eastAsia="仿宋" w:hAnsi="仿宋"/>
                <w:color w:val="000000"/>
                <w:sz w:val="24"/>
              </w:rPr>
              <w:t>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（四）非线性模型的线性化变换方法（</w:t>
            </w:r>
            <w:r>
              <w:rPr>
                <w:rFonts w:ascii="仿宋" w:eastAsia="仿宋" w:hAnsi="仿宋"/>
                <w:color w:val="000000"/>
                <w:sz w:val="24"/>
              </w:rPr>
              <w:t>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三、多重共线性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（一）多重共线性含义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包括完全共线性，近似共线性（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（二）多重共线性产生原因（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（三）多重共线性产生后果（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（四）多重共线性的检验（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（五）如何克服多重共线性（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四、异方差性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（一）异方差含义及类型（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（二）异方差产生原因及造成后果（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（三）异方差性的检验</w:t>
            </w:r>
            <w:r>
              <w:rPr>
                <w:rFonts w:ascii="仿宋" w:eastAsia="仿宋" w:hAnsi="仿宋"/>
                <w:color w:val="000000"/>
                <w:sz w:val="24"/>
              </w:rPr>
              <w:t>—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图示检验，</w:t>
            </w:r>
            <w:r>
              <w:rPr>
                <w:rFonts w:ascii="仿宋" w:eastAsia="仿宋" w:hAnsi="仿宋"/>
                <w:color w:val="000000"/>
                <w:sz w:val="24"/>
              </w:rPr>
              <w:t>G-Q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检验，</w:t>
            </w:r>
            <w:r>
              <w:rPr>
                <w:rFonts w:ascii="仿宋" w:eastAsia="仿宋" w:hAnsi="仿宋"/>
                <w:color w:val="000000"/>
                <w:sz w:val="24"/>
              </w:rPr>
              <w:t>White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检验（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（四）异方差的修正方法</w:t>
            </w:r>
            <w:r>
              <w:rPr>
                <w:rFonts w:ascii="仿宋" w:eastAsia="仿宋" w:hAnsi="仿宋"/>
                <w:color w:val="000000"/>
                <w:sz w:val="24"/>
              </w:rPr>
              <w:t>—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加权最小二乘法（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五、自相关（序列相关）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（一）自相关含义及表现形式（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（二）自相关产生原因及造成的后果（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（三）序列相关检验方法</w:t>
            </w:r>
            <w:r>
              <w:rPr>
                <w:rFonts w:ascii="仿宋" w:eastAsia="仿宋" w:hAnsi="仿宋"/>
                <w:color w:val="000000"/>
                <w:sz w:val="24"/>
              </w:rPr>
              <w:t>—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图示检验，</w:t>
            </w:r>
            <w:r>
              <w:rPr>
                <w:rFonts w:ascii="仿宋" w:eastAsia="仿宋" w:hAnsi="仿宋"/>
                <w:color w:val="000000"/>
                <w:sz w:val="24"/>
              </w:rPr>
              <w:t>DW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检验（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（四）序列相关的补救</w:t>
            </w:r>
            <w:r>
              <w:rPr>
                <w:rFonts w:ascii="仿宋" w:eastAsia="仿宋" w:hAnsi="仿宋"/>
                <w:color w:val="000000"/>
                <w:sz w:val="24"/>
              </w:rPr>
              <w:t>—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广义差分（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六、虚拟变量回归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（一）虚拟变量含义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及设置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原则（</w:t>
            </w:r>
            <w:r>
              <w:rPr>
                <w:rFonts w:ascii="仿宋" w:eastAsia="仿宋" w:hAnsi="仿宋"/>
                <w:color w:val="000000"/>
                <w:sz w:val="24"/>
              </w:rPr>
              <w:t>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（二）虚拟变量陷阱（</w:t>
            </w:r>
            <w:r>
              <w:rPr>
                <w:rFonts w:ascii="仿宋" w:eastAsia="仿宋" w:hAnsi="仿宋"/>
                <w:color w:val="000000"/>
                <w:sz w:val="24"/>
              </w:rPr>
              <w:t>***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七、时间序列计量经济学模型</w:t>
            </w:r>
            <w:r>
              <w:rPr>
                <w:rFonts w:ascii="仿宋" w:eastAsia="仿宋" w:hAnsi="仿宋" w:hint="eastAsia"/>
                <w:b/>
                <w:bCs/>
                <w:color w:val="2E74B5"/>
                <w:sz w:val="24"/>
              </w:rPr>
              <w:t>（掌握基本含义即可）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（一）时间序列的平稳性及其检验（</w:t>
            </w:r>
            <w:r>
              <w:rPr>
                <w:rFonts w:ascii="仿宋" w:eastAsia="仿宋" w:hAnsi="仿宋"/>
                <w:color w:val="000000"/>
                <w:sz w:val="24"/>
              </w:rPr>
              <w:t>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协整与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误差修正模型（</w:t>
            </w:r>
            <w:r>
              <w:rPr>
                <w:rFonts w:ascii="仿宋" w:eastAsia="仿宋" w:hAnsi="仿宋"/>
                <w:color w:val="000000"/>
                <w:sz w:val="24"/>
              </w:rPr>
              <w:t>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（三）格兰杰因果关系检验（</w:t>
            </w:r>
            <w:r>
              <w:rPr>
                <w:rFonts w:ascii="仿宋" w:eastAsia="仿宋" w:hAnsi="仿宋"/>
                <w:color w:val="000000"/>
                <w:sz w:val="24"/>
              </w:rPr>
              <w:t>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八、联立方程组模型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（一）联立方程模型的识别的基本含义及条件（</w:t>
            </w:r>
            <w:r>
              <w:rPr>
                <w:rFonts w:ascii="仿宋" w:eastAsia="仿宋" w:hAnsi="仿宋"/>
                <w:color w:val="000000"/>
                <w:sz w:val="24"/>
              </w:rPr>
              <w:t>**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:rsidR="007A42B3" w:rsidRDefault="007A42B3">
            <w:pPr>
              <w:snapToGrid w:val="0"/>
              <w:rPr>
                <w:rFonts w:ascii="仿宋" w:eastAsia="仿宋" w:hAnsi="仿宋" w:cs="仿宋"/>
                <w:b/>
                <w:sz w:val="24"/>
              </w:rPr>
            </w:pPr>
          </w:p>
          <w:p w:rsidR="007A42B3" w:rsidRDefault="00B61A54">
            <w:pPr>
              <w:snapToGrid w:val="0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建议参考以下教材：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《西方经济学》（微观、宏观部分）第六版，中国人民大学出版社，高鸿业；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《计量经济学》（第四版），高等教育出版社，李子奈，潘文卿；</w:t>
            </w:r>
          </w:p>
          <w:p w:rsidR="007A42B3" w:rsidRDefault="00B61A54">
            <w:pPr>
              <w:spacing w:line="300" w:lineRule="auto"/>
              <w:ind w:firstLineChars="200" w:firstLine="480"/>
              <w:rPr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《计量经济学》（第三版），科学出版社，庞皓</w:t>
            </w:r>
          </w:p>
          <w:p w:rsidR="007A42B3" w:rsidRDefault="007A42B3"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  <w:p w:rsidR="007A42B3" w:rsidRDefault="00B61A54"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※：本科目考试大纲可作为金融专业硕士考生复试考纲</w:t>
            </w:r>
          </w:p>
        </w:tc>
      </w:tr>
    </w:tbl>
    <w:p w:rsidR="007A42B3" w:rsidRDefault="007A42B3"/>
    <w:p w:rsidR="007A42B3" w:rsidRDefault="007A42B3"/>
    <w:sectPr w:rsidR="007A42B3" w:rsidSect="007A4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47C2E"/>
    <w:multiLevelType w:val="singleLevel"/>
    <w:tmpl w:val="59C47C2E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7F1872FE"/>
    <w:rsid w:val="001778D7"/>
    <w:rsid w:val="00225F6E"/>
    <w:rsid w:val="002B7C07"/>
    <w:rsid w:val="00370BA0"/>
    <w:rsid w:val="00447D7E"/>
    <w:rsid w:val="006036FF"/>
    <w:rsid w:val="006C04E7"/>
    <w:rsid w:val="007A42B3"/>
    <w:rsid w:val="00862B49"/>
    <w:rsid w:val="00930ECE"/>
    <w:rsid w:val="00B312C6"/>
    <w:rsid w:val="00B61A54"/>
    <w:rsid w:val="00CC0E27"/>
    <w:rsid w:val="00EC49CA"/>
    <w:rsid w:val="00F1512A"/>
    <w:rsid w:val="00F168CD"/>
    <w:rsid w:val="00FF0F7C"/>
    <w:rsid w:val="179955D0"/>
    <w:rsid w:val="2C020335"/>
    <w:rsid w:val="35A62251"/>
    <w:rsid w:val="38BF1519"/>
    <w:rsid w:val="3BAB6C65"/>
    <w:rsid w:val="3DF07B9D"/>
    <w:rsid w:val="49F07FD6"/>
    <w:rsid w:val="537F30A4"/>
    <w:rsid w:val="5BEA5882"/>
    <w:rsid w:val="5C4F2088"/>
    <w:rsid w:val="5E7D5D50"/>
    <w:rsid w:val="73AA51FC"/>
    <w:rsid w:val="756714EC"/>
    <w:rsid w:val="7F18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B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7A42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A42B3"/>
    <w:pPr>
      <w:keepNext/>
      <w:keepLines/>
      <w:spacing w:beforeLines="20" w:afterLines="20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A4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A4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A42B3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7A42B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locked/>
    <w:rsid w:val="007A42B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A42B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联想</cp:lastModifiedBy>
  <cp:revision>2</cp:revision>
  <dcterms:created xsi:type="dcterms:W3CDTF">2019-07-15T03:44:00Z</dcterms:created>
  <dcterms:modified xsi:type="dcterms:W3CDTF">2019-07-15T03:44:00Z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